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691" w:rsidRDefault="00FF2691" w:rsidP="00FF2691">
      <w:pPr>
        <w:rPr>
          <w:rFonts w:ascii="Arial" w:hAnsi="Arial" w:cs="Arial"/>
        </w:rPr>
      </w:pPr>
      <w:r w:rsidRPr="00FF2691">
        <w:rPr>
          <w:rFonts w:ascii="Arial" w:hAnsi="Arial" w:cs="Arial"/>
          <w:i/>
          <w:iCs/>
        </w:rPr>
        <w:t>Письмо Ми</w:t>
      </w:r>
      <w:r w:rsidRPr="00FF2691">
        <w:rPr>
          <w:rFonts w:ascii="Arial" w:hAnsi="Arial" w:cs="Arial"/>
          <w:i/>
          <w:iCs/>
        </w:rPr>
        <w:t>н</w:t>
      </w:r>
      <w:r w:rsidRPr="00FF2691">
        <w:rPr>
          <w:rFonts w:ascii="Arial" w:hAnsi="Arial" w:cs="Arial"/>
          <w:i/>
          <w:iCs/>
        </w:rPr>
        <w:t>фина Рос</w:t>
      </w:r>
      <w:r w:rsidRPr="00FF2691">
        <w:rPr>
          <w:rFonts w:ascii="Arial" w:hAnsi="Arial" w:cs="Arial"/>
          <w:i/>
          <w:iCs/>
        </w:rPr>
        <w:t>с</w:t>
      </w:r>
      <w:r w:rsidRPr="00FF2691">
        <w:rPr>
          <w:rFonts w:ascii="Arial" w:hAnsi="Arial" w:cs="Arial"/>
          <w:i/>
          <w:iCs/>
        </w:rPr>
        <w:t>ии от 16.12.2024 N 03-07-11/126901</w:t>
      </w:r>
    </w:p>
    <w:p w:rsidR="00FF2691" w:rsidRDefault="00FF2691" w:rsidP="00FF2691"/>
    <w:p w:rsidR="00FF2691" w:rsidRDefault="00FF2691" w:rsidP="00FF2691">
      <w:pPr>
        <w:pStyle w:val="ConsPlusNormal"/>
        <w:jc w:val="both"/>
        <w:rPr>
          <w:sz w:val="24"/>
          <w:szCs w:val="24"/>
        </w:rPr>
      </w:pPr>
      <w:r w:rsidRPr="003F4F53">
        <w:rPr>
          <w:sz w:val="24"/>
          <w:szCs w:val="24"/>
        </w:rPr>
        <w:t>Минфин разъяснил: в случае реорганизации в форме преобразования при</w:t>
      </w:r>
      <w:r>
        <w:rPr>
          <w:sz w:val="24"/>
          <w:szCs w:val="24"/>
        </w:rPr>
        <w:t> </w:t>
      </w:r>
      <w:r w:rsidRPr="003F4F53">
        <w:rPr>
          <w:sz w:val="24"/>
          <w:szCs w:val="24"/>
        </w:rPr>
        <w:t>определении дохода учитываются доходы, полученные с начала отчетного (налогового) периода, в том числе доходы реорганизованной организации. Следовательно, в целях УСН и освобождения от НДС организация, преобразованная в</w:t>
      </w:r>
      <w:r>
        <w:rPr>
          <w:sz w:val="24"/>
          <w:szCs w:val="24"/>
        </w:rPr>
        <w:t> </w:t>
      </w:r>
      <w:r w:rsidRPr="003F4F53">
        <w:rPr>
          <w:sz w:val="24"/>
          <w:szCs w:val="24"/>
        </w:rPr>
        <w:t>2024 году, должна учитывать доходы с 01.01.2024.</w:t>
      </w:r>
    </w:p>
    <w:p w:rsidR="00FF2691" w:rsidRPr="003F4F53" w:rsidRDefault="00FF2691" w:rsidP="00FF2691">
      <w:pPr>
        <w:pStyle w:val="ConsPlusNormal"/>
        <w:jc w:val="both"/>
        <w:rPr>
          <w:sz w:val="24"/>
          <w:szCs w:val="24"/>
        </w:rPr>
      </w:pPr>
    </w:p>
    <w:p w:rsidR="00586927" w:rsidRDefault="00586927"/>
    <w:p w:rsidR="00FF2691" w:rsidRDefault="00FF2691" w:rsidP="00FF2691">
      <w:pPr>
        <w:jc w:val="both"/>
        <w:rPr>
          <w:rFonts w:ascii="Arial" w:hAnsi="Arial" w:cs="Arial"/>
        </w:rPr>
      </w:pPr>
      <w:r w:rsidRPr="00FF2691">
        <w:rPr>
          <w:rFonts w:ascii="Arial" w:hAnsi="Arial" w:cs="Arial"/>
          <w:i/>
          <w:iCs/>
        </w:rPr>
        <w:t>Информационное сообщение Минфина России от 20.01.2025 N ИС-аудит-76</w:t>
      </w:r>
      <w:r>
        <w:rPr>
          <w:rFonts w:ascii="Arial" w:hAnsi="Arial" w:cs="Arial"/>
          <w:i/>
          <w:iCs/>
        </w:rPr>
        <w:t xml:space="preserve">, </w:t>
      </w:r>
      <w:r w:rsidRPr="00FF2691">
        <w:rPr>
          <w:rFonts w:ascii="Arial" w:hAnsi="Arial" w:cs="Arial"/>
          <w:i/>
          <w:iCs/>
        </w:rPr>
        <w:t>Перечень случаев проведения обязательного аудита бухгалтерской (финансовой) отчетности за 2024 год</w:t>
      </w:r>
      <w:r>
        <w:rPr>
          <w:rFonts w:ascii="Arial" w:hAnsi="Arial" w:cs="Arial"/>
        </w:rPr>
        <w:t>.</w:t>
      </w:r>
    </w:p>
    <w:p w:rsidR="00FF2691" w:rsidRPr="000D2422" w:rsidRDefault="00FF2691" w:rsidP="00FF2691">
      <w:pPr>
        <w:jc w:val="both"/>
        <w:rPr>
          <w:rFonts w:ascii="Arial" w:hAnsi="Arial" w:cs="Arial"/>
        </w:rPr>
      </w:pPr>
    </w:p>
    <w:p w:rsidR="00FF2691" w:rsidRPr="003F4F53" w:rsidRDefault="00FF2691" w:rsidP="00FF2691">
      <w:pPr>
        <w:pStyle w:val="ConsPlusNormal"/>
        <w:jc w:val="both"/>
        <w:rPr>
          <w:sz w:val="24"/>
          <w:szCs w:val="24"/>
        </w:rPr>
      </w:pPr>
      <w:r w:rsidRPr="003F4F53">
        <w:rPr>
          <w:sz w:val="24"/>
          <w:szCs w:val="24"/>
        </w:rPr>
        <w:t xml:space="preserve">Минфин </w:t>
      </w:r>
      <w:r w:rsidRPr="00CA7B2C">
        <w:rPr>
          <w:sz w:val="24"/>
          <w:szCs w:val="24"/>
        </w:rPr>
        <w:t>подготовил перечень случаев проведения обязательного аудита отчетности за 2024 год. В перечне приведены категории организаций, для которых проведение аудита является обязательным. Также представлены виды отчетности, подлежащие аудиту.</w:t>
      </w:r>
    </w:p>
    <w:p w:rsidR="00FF2691" w:rsidRDefault="00FF2691"/>
    <w:sectPr w:rsidR="00FF2691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F2691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F35FB4"/>
    <w:rsid w:val="00FF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9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2691"/>
    <w:rPr>
      <w:color w:val="0000FF"/>
      <w:u w:val="single"/>
    </w:rPr>
  </w:style>
  <w:style w:type="paragraph" w:customStyle="1" w:styleId="ConsPlusNormal">
    <w:name w:val="ConsPlusNormal"/>
    <w:rsid w:val="00FF26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2025-01-27T04:00:00Z</dcterms:created>
  <dcterms:modified xsi:type="dcterms:W3CDTF">2025-01-27T04:01:00Z</dcterms:modified>
</cp:coreProperties>
</file>